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F3E" w:rsidRPr="00FF6F3E" w:rsidRDefault="00FF6F3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F6F3E">
        <w:rPr>
          <w:rFonts w:ascii="Times New Roman" w:hAnsi="Times New Roman" w:cs="Times New Roman"/>
          <w:sz w:val="28"/>
          <w:szCs w:val="28"/>
        </w:rPr>
        <w:t>МЕТОДИКА</w:t>
      </w:r>
    </w:p>
    <w:p w:rsidR="00FF6F3E" w:rsidRPr="00FF6F3E" w:rsidRDefault="00FF6F3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F6F3E">
        <w:rPr>
          <w:rFonts w:ascii="Times New Roman" w:hAnsi="Times New Roman" w:cs="Times New Roman"/>
          <w:sz w:val="28"/>
          <w:szCs w:val="28"/>
        </w:rPr>
        <w:t>распределения иных межбюджетных трансфертов бюджетам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6F3E">
        <w:rPr>
          <w:rFonts w:ascii="Times New Roman" w:hAnsi="Times New Roman" w:cs="Times New Roman"/>
          <w:sz w:val="28"/>
          <w:szCs w:val="28"/>
        </w:rPr>
        <w:t>муниципальных районов (муниципальных округов, городских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6F3E">
        <w:rPr>
          <w:rFonts w:ascii="Times New Roman" w:hAnsi="Times New Roman" w:cs="Times New Roman"/>
          <w:sz w:val="28"/>
          <w:szCs w:val="28"/>
        </w:rPr>
        <w:t>округов) на создание виртуальных концертных залов в рамках</w:t>
      </w:r>
      <w:r>
        <w:rPr>
          <w:rFonts w:ascii="Times New Roman" w:hAnsi="Times New Roman" w:cs="Times New Roman"/>
          <w:sz w:val="28"/>
          <w:szCs w:val="28"/>
        </w:rPr>
        <w:t xml:space="preserve"> регионального проекта «Цифровая культура (Брянская область)» государственной программы «Р</w:t>
      </w:r>
      <w:r w:rsidRPr="00FF6F3E">
        <w:rPr>
          <w:rFonts w:ascii="Times New Roman" w:hAnsi="Times New Roman" w:cs="Times New Roman"/>
          <w:sz w:val="28"/>
          <w:szCs w:val="28"/>
        </w:rPr>
        <w:t>азвитие культуры и туризма</w:t>
      </w:r>
      <w:r>
        <w:rPr>
          <w:rFonts w:ascii="Times New Roman" w:hAnsi="Times New Roman" w:cs="Times New Roman"/>
          <w:sz w:val="28"/>
          <w:szCs w:val="28"/>
        </w:rPr>
        <w:t xml:space="preserve"> в Б</w:t>
      </w:r>
      <w:r w:rsidRPr="00FF6F3E">
        <w:rPr>
          <w:rFonts w:ascii="Times New Roman" w:hAnsi="Times New Roman" w:cs="Times New Roman"/>
          <w:sz w:val="28"/>
          <w:szCs w:val="28"/>
        </w:rPr>
        <w:t>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F6F3E" w:rsidRPr="00FF6F3E" w:rsidRDefault="00FF6F3E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FF6F3E" w:rsidRPr="00FF6F3E" w:rsidRDefault="00FF6F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6F3E">
        <w:rPr>
          <w:rFonts w:ascii="Times New Roman" w:hAnsi="Times New Roman" w:cs="Times New Roman"/>
          <w:sz w:val="28"/>
          <w:szCs w:val="28"/>
        </w:rPr>
        <w:t>Расчет объема иных межбюджетных трансфертов бюджетам муниципальных районов (муниципальных округов, городских округов) (далее - муниципальные образования) на создание виртуальных концертных залов в рамках регионального проекта "Цифровая культура (Брянская область)" государственной программы "Развитие культуры и туризма в Брянской области" определяется по формуле:</w:t>
      </w:r>
    </w:p>
    <w:p w:rsidR="00FF6F3E" w:rsidRDefault="00FF6F3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F6F3E" w:rsidRPr="00FF6F3E" w:rsidRDefault="00FF6F3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F6F3E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FF6F3E">
        <w:rPr>
          <w:rFonts w:ascii="Times New Roman" w:hAnsi="Times New Roman" w:cs="Times New Roman"/>
          <w:sz w:val="28"/>
          <w:szCs w:val="28"/>
        </w:rPr>
        <w:t xml:space="preserve"> = (Дт1 x n1) + (Дт2 x n2) + (Дт3 x n3) + (Дт4 x n4), где:</w:t>
      </w:r>
    </w:p>
    <w:p w:rsidR="00FF6F3E" w:rsidRPr="00FF6F3E" w:rsidRDefault="00FF6F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F6F3E" w:rsidRPr="00FF6F3E" w:rsidRDefault="00FF6F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F6F3E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FF6F3E">
        <w:rPr>
          <w:rFonts w:ascii="Times New Roman" w:hAnsi="Times New Roman" w:cs="Times New Roman"/>
          <w:sz w:val="28"/>
          <w:szCs w:val="28"/>
        </w:rPr>
        <w:t xml:space="preserve"> - объем иного межбюджетного трансферта бюджету i-</w:t>
      </w:r>
      <w:proofErr w:type="spellStart"/>
      <w:r w:rsidRPr="00FF6F3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FF6F3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цели, установленные в соответствии с </w:t>
      </w:r>
      <w:hyperlink r:id="rId4" w:history="1">
        <w:r w:rsidRPr="00FF6F3E">
          <w:rPr>
            <w:rFonts w:ascii="Times New Roman" w:hAnsi="Times New Roman" w:cs="Times New Roman"/>
            <w:color w:val="0000FF"/>
            <w:sz w:val="28"/>
            <w:szCs w:val="28"/>
          </w:rPr>
          <w:t>пунктом 3</w:t>
        </w:r>
      </w:hyperlink>
      <w:r w:rsidRPr="00FF6F3E">
        <w:rPr>
          <w:rFonts w:ascii="Times New Roman" w:hAnsi="Times New Roman" w:cs="Times New Roman"/>
          <w:sz w:val="28"/>
          <w:szCs w:val="28"/>
        </w:rPr>
        <w:t xml:space="preserve"> Правил;</w:t>
      </w:r>
    </w:p>
    <w:p w:rsidR="00FF6F3E" w:rsidRPr="00FF6F3E" w:rsidRDefault="00FF6F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6F3E">
        <w:rPr>
          <w:rFonts w:ascii="Times New Roman" w:hAnsi="Times New Roman" w:cs="Times New Roman"/>
          <w:sz w:val="28"/>
          <w:szCs w:val="28"/>
        </w:rPr>
        <w:t xml:space="preserve">Дт1 - размер иного межбюджетного трансферта, установленный в соответствии с </w:t>
      </w:r>
      <w:hyperlink r:id="rId5" w:history="1">
        <w:r w:rsidRPr="00FF6F3E">
          <w:rPr>
            <w:rFonts w:ascii="Times New Roman" w:hAnsi="Times New Roman" w:cs="Times New Roman"/>
            <w:color w:val="0000FF"/>
            <w:sz w:val="28"/>
            <w:szCs w:val="28"/>
          </w:rPr>
          <w:t>пунктом 6</w:t>
        </w:r>
      </w:hyperlink>
      <w:r w:rsidRPr="00FF6F3E">
        <w:rPr>
          <w:rFonts w:ascii="Times New Roman" w:hAnsi="Times New Roman" w:cs="Times New Roman"/>
          <w:sz w:val="28"/>
          <w:szCs w:val="28"/>
        </w:rPr>
        <w:t xml:space="preserve"> Правил для учреждений культуры с вместимостью зала до 50 человек;</w:t>
      </w:r>
    </w:p>
    <w:p w:rsidR="00FF6F3E" w:rsidRPr="00FF6F3E" w:rsidRDefault="00FF6F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6F3E">
        <w:rPr>
          <w:rFonts w:ascii="Times New Roman" w:hAnsi="Times New Roman" w:cs="Times New Roman"/>
          <w:sz w:val="28"/>
          <w:szCs w:val="28"/>
        </w:rPr>
        <w:t>n1 - количество учреждений культуры с вместимостью зала до 50 человек, признанных победителями конкурсного отбора;</w:t>
      </w:r>
    </w:p>
    <w:p w:rsidR="00FF6F3E" w:rsidRPr="00FF6F3E" w:rsidRDefault="00FF6F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6F3E">
        <w:rPr>
          <w:rFonts w:ascii="Times New Roman" w:hAnsi="Times New Roman" w:cs="Times New Roman"/>
          <w:sz w:val="28"/>
          <w:szCs w:val="28"/>
        </w:rPr>
        <w:t>Дт2 - размер иного межбюджетного трансферта, установленный в соответствии с пунктом 6 Правил для учреждений культуры с вместимостью зала от 51 до 150 человек;</w:t>
      </w:r>
    </w:p>
    <w:p w:rsidR="00FF6F3E" w:rsidRPr="00FF6F3E" w:rsidRDefault="00FF6F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6F3E">
        <w:rPr>
          <w:rFonts w:ascii="Times New Roman" w:hAnsi="Times New Roman" w:cs="Times New Roman"/>
          <w:sz w:val="28"/>
          <w:szCs w:val="28"/>
        </w:rPr>
        <w:t>n2 - количество учреждений культуры с вместимостью зала от 51 до 150 человек, признанных победителями конкурсного отбора;</w:t>
      </w:r>
    </w:p>
    <w:p w:rsidR="00FF6F3E" w:rsidRPr="00FF6F3E" w:rsidRDefault="00FF6F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6F3E">
        <w:rPr>
          <w:rFonts w:ascii="Times New Roman" w:hAnsi="Times New Roman" w:cs="Times New Roman"/>
          <w:sz w:val="28"/>
          <w:szCs w:val="28"/>
        </w:rPr>
        <w:t>Дт3 - размер иного межбюджетного трансферта, установленный в соответствии с пунктом 6 Правил для учреждений культуры с вместимостью зала от 151 до 300 человек;</w:t>
      </w:r>
    </w:p>
    <w:p w:rsidR="00FF6F3E" w:rsidRPr="00FF6F3E" w:rsidRDefault="00FF6F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6F3E">
        <w:rPr>
          <w:rFonts w:ascii="Times New Roman" w:hAnsi="Times New Roman" w:cs="Times New Roman"/>
          <w:sz w:val="28"/>
          <w:szCs w:val="28"/>
        </w:rPr>
        <w:t>n3 - количество учреждений культуры с вместимостью зала от 151 до 300 человек, признанных победителями конкурсного отбора;</w:t>
      </w:r>
    </w:p>
    <w:p w:rsidR="00FF6F3E" w:rsidRPr="00FF6F3E" w:rsidRDefault="00FF6F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6F3E">
        <w:rPr>
          <w:rFonts w:ascii="Times New Roman" w:hAnsi="Times New Roman" w:cs="Times New Roman"/>
          <w:sz w:val="28"/>
          <w:szCs w:val="28"/>
        </w:rPr>
        <w:t xml:space="preserve">Дт4 - размер иного межбюджетного трансферта, установленный в соответствии с </w:t>
      </w:r>
      <w:hyperlink r:id="rId6" w:history="1">
        <w:r w:rsidRPr="00FF6F3E">
          <w:rPr>
            <w:rFonts w:ascii="Times New Roman" w:hAnsi="Times New Roman" w:cs="Times New Roman"/>
            <w:color w:val="0000FF"/>
            <w:sz w:val="28"/>
            <w:szCs w:val="28"/>
          </w:rPr>
          <w:t>пунктом 6</w:t>
        </w:r>
      </w:hyperlink>
      <w:r w:rsidRPr="00FF6F3E">
        <w:rPr>
          <w:rFonts w:ascii="Times New Roman" w:hAnsi="Times New Roman" w:cs="Times New Roman"/>
          <w:sz w:val="28"/>
          <w:szCs w:val="28"/>
        </w:rPr>
        <w:t xml:space="preserve"> Правил для учреждений культуры с вместимостью зала от 301 человек;</w:t>
      </w:r>
    </w:p>
    <w:p w:rsidR="00FF6F3E" w:rsidRPr="00FF6F3E" w:rsidRDefault="00FF6F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6F3E">
        <w:rPr>
          <w:rFonts w:ascii="Times New Roman" w:hAnsi="Times New Roman" w:cs="Times New Roman"/>
          <w:sz w:val="28"/>
          <w:szCs w:val="28"/>
        </w:rPr>
        <w:t>n4 - количество учреждений культуры с вместимостью зала от 301 человека, признанных победителями конкурсного отбора.</w:t>
      </w:r>
      <w:bookmarkStart w:id="0" w:name="_GoBack"/>
      <w:bookmarkEnd w:id="0"/>
    </w:p>
    <w:sectPr w:rsidR="00FF6F3E" w:rsidRPr="00FF6F3E" w:rsidSect="001A4B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F3E"/>
    <w:rsid w:val="00BE7234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C8F3B"/>
  <w15:chartTrackingRefBased/>
  <w15:docId w15:val="{1D00146A-87A4-4C5F-879D-09990478A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6F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F6F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126C62A925C6E7D67A121817C3188F9D818C222E8889561309304015EA4B955B8AF41672DA077F7C470ACDD73972704D7824361B9A3D9A223472CC6kDM" TargetMode="External"/><Relationship Id="rId5" Type="http://schemas.openxmlformats.org/officeDocument/2006/relationships/hyperlink" Target="consultantplus://offline/ref=1126C62A925C6E7D67A121817C3188F9D818C222E8889561309304015EA4B955B8AF41672DA077F7C470ACDD73972704D7824361B9A3D9A223472CC6kDM" TargetMode="External"/><Relationship Id="rId4" Type="http://schemas.openxmlformats.org/officeDocument/2006/relationships/hyperlink" Target="consultantplus://offline/ref=1126C62A925C6E7D67A121817C3188F9D818C222E8889561309304015EA4B955B8AF41672DA077F7C470AFDA73972704D7824361B9A3D9A223472CC6k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2021-10-19T12:35:00Z</dcterms:created>
  <dcterms:modified xsi:type="dcterms:W3CDTF">2021-10-19T12:37:00Z</dcterms:modified>
</cp:coreProperties>
</file>